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 w:right="0"/>
        <w:contextualSpacing/>
        <w:rPr>
          <w:rFonts w:ascii="Lato" w:hAnsi="Lato" w:cs="Calibr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 w:right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cs="Calibri" w:ascii="Lato" w:hAnsi="Lato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 w:right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cs="Calibri" w:ascii="Lato" w:hAnsi="Lato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95250" distB="40005" distL="215900" distR="4318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.8pt" to="454.7pt,6.15pt" ID="Łącznik prosty 2" stroked="t" o:allowincell="f" style="position:absolute;flip:y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/>
        </w:rPr>
        <w:t xml:space="preserve">Piła, </w:t>
      </w:r>
      <w:r>
        <w:rPr>
          <w:rFonts w:eastAsia="Calibri" w:cs="Mangal" w:ascii="Lato" w:hAnsi="Lato"/>
          <w:i/>
          <w:color w:val="000000"/>
          <w:kern w:val="0"/>
          <w:sz w:val="22"/>
          <w:szCs w:val="22"/>
          <w:lang w:val="pl-PL" w:eastAsia="en-US" w:bidi="ar-SA"/>
        </w:rPr>
        <w:t>4</w:t>
      </w:r>
      <w:r>
        <w:rPr>
          <w:rFonts w:ascii="Lato" w:hAnsi="Lato"/>
          <w:i/>
          <w:color w:val="2F5496"/>
        </w:rPr>
        <w:t xml:space="preserve"> </w:t>
      </w:r>
      <w:r>
        <w:rPr>
          <w:rFonts w:ascii="Lato" w:hAnsi="Lato"/>
          <w:i/>
          <w:color w:val="2F5496"/>
        </w:rPr>
        <w:t>marc</w:t>
      </w:r>
      <w:r>
        <w:rPr>
          <w:rFonts w:ascii="Lato" w:hAnsi="Lato"/>
          <w:i/>
          <w:color w:val="2F5496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ind w:hanging="0"/>
        <w:jc w:val="center"/>
        <w:rPr/>
      </w:pPr>
      <w:r>
        <w:rPr>
          <w:rFonts w:ascii="Lato" w:hAnsi="Lato"/>
          <w:color w:val="C00000"/>
        </w:rPr>
        <w:t xml:space="preserve">OBWIESZCZENIE O </w:t>
      </w:r>
      <w:r>
        <w:rPr>
          <w:rFonts w:cs="Calibri" w:ascii="Lato" w:hAnsi="Lato"/>
          <w:b/>
          <w:color w:val="C00000"/>
          <w:kern w:val="0"/>
          <w:sz w:val="32"/>
          <w:szCs w:val="32"/>
          <w:lang w:val="pl-PL" w:eastAsia="en-US" w:bidi="ar-SA"/>
        </w:rPr>
        <w:t>SPRZEDAŻY Z WOLNEJ RĘKI</w:t>
      </w:r>
      <w:r>
        <w:rPr>
          <w:rFonts w:ascii="Lato" w:hAnsi="Lato"/>
          <w:color w:val="C00000"/>
        </w:rPr>
        <w:t xml:space="preserve"> RUCHOMOŚCI</w:t>
      </w:r>
    </w:p>
    <w:p>
      <w:pPr>
        <w:pStyle w:val="Normal"/>
        <w:spacing w:lineRule="auto" w:line="240" w:before="288" w:after="0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bCs/>
          <w:color w:val="000000"/>
          <w:sz w:val="24"/>
          <w:szCs w:val="24"/>
        </w:rPr>
        <w:t>Szanowni Pa</w:t>
      </w:r>
      <w:r>
        <w:rPr>
          <w:rFonts w:ascii="Lato-Regular" w:hAnsi="Lato-Regular"/>
          <w:color w:val="000000"/>
          <w:sz w:val="24"/>
        </w:rPr>
        <w:t>ństwo,</w:t>
      </w:r>
    </w:p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color w:val="000000"/>
          <w:sz w:val="24"/>
        </w:rPr>
        <w:t xml:space="preserve">informuję o sprzedaży z wolnej ręki ruchomości </w:t>
      </w:r>
    </w:p>
    <w:tbl>
      <w:tblPr>
        <w:tblW w:w="9061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578"/>
        <w:gridCol w:w="2587"/>
        <w:gridCol w:w="1425"/>
        <w:gridCol w:w="1759"/>
        <w:gridCol w:w="2712"/>
      </w:tblGrid>
      <w:tr>
        <w:trPr/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Cena </w:t>
            </w: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ustalona przez organ egzekucyjny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Samochód osobowy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OPEL ASTRA-G 1.6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KOMBI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200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3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rok, nr rej. P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Z257FF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nr VIN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W0L0TGF3532288455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Arial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Arial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</w:t>
            </w:r>
            <w:r>
              <w:rPr>
                <w:rFonts w:eastAsia="Arial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.0</w:t>
            </w:r>
            <w:r>
              <w:rPr>
                <w:rFonts w:cs="Arial"/>
                <w:bCs/>
                <w:sz w:val="24"/>
                <w:szCs w:val="24"/>
              </w:rPr>
              <w:t>00,00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.000,00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data pierwszej rejestracji 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22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.10.200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3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r.</w:t>
            </w:r>
          </w:p>
        </w:tc>
      </w:tr>
    </w:tbl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Bold" w:hAnsi="Lato-Bold"/>
          <w:b/>
          <w:color w:val="C10000"/>
          <w:sz w:val="28"/>
        </w:rPr>
        <w:t xml:space="preserve">Termin </w:t>
      </w:r>
    </w:p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color w:val="2A609A"/>
          <w:sz w:val="24"/>
        </w:rPr>
        <w:t xml:space="preserve">od </w:t>
      </w:r>
      <w:r>
        <w:rPr>
          <w:rFonts w:ascii="Lato-Regular" w:hAnsi="Lato-Regular"/>
          <w:color w:val="2A609A"/>
          <w:sz w:val="24"/>
        </w:rPr>
        <w:t>1</w:t>
      </w:r>
      <w:r>
        <w:rPr>
          <w:rFonts w:ascii="Lato-Regular" w:hAnsi="Lato-Regular"/>
          <w:color w:val="2A609A"/>
          <w:sz w:val="24"/>
        </w:rPr>
        <w:t xml:space="preserve"> </w:t>
      </w:r>
      <w:r>
        <w:rPr>
          <w:rFonts w:ascii="Lato-Regular" w:hAnsi="Lato-Regular"/>
          <w:color w:val="2A609A"/>
          <w:sz w:val="24"/>
        </w:rPr>
        <w:t>kwiet</w:t>
      </w:r>
      <w:r>
        <w:rPr>
          <w:rFonts w:eastAsia="Calibri" w:cs="Mangal" w:ascii="Lato-Regular" w:hAnsi="Lato-Regular"/>
          <w:color w:val="2A609A"/>
          <w:kern w:val="0"/>
          <w:sz w:val="24"/>
          <w:szCs w:val="22"/>
          <w:lang w:val="pl-PL" w:eastAsia="en-US" w:bidi="ar-SA"/>
        </w:rPr>
        <w:t>ni</w:t>
      </w:r>
      <w:r>
        <w:rPr>
          <w:rFonts w:ascii="Lato-Regular" w:hAnsi="Lato-Regular"/>
          <w:color w:val="2A609A"/>
          <w:sz w:val="24"/>
        </w:rPr>
        <w:t xml:space="preserve">a 2026 r., od godz. 10:00 do </w:t>
      </w:r>
      <w:r>
        <w:rPr>
          <w:rFonts w:ascii="Lato-Regular" w:hAnsi="Lato-Regular"/>
          <w:color w:val="2A609A"/>
          <w:sz w:val="24"/>
        </w:rPr>
        <w:t>17</w:t>
      </w:r>
      <w:r>
        <w:rPr>
          <w:rFonts w:ascii="Lato-Regular" w:hAnsi="Lato-Regular"/>
          <w:color w:val="2A609A"/>
          <w:sz w:val="24"/>
        </w:rPr>
        <w:t xml:space="preserve"> </w:t>
      </w:r>
      <w:r>
        <w:rPr>
          <w:rFonts w:ascii="Lato-Regular" w:hAnsi="Lato-Regular"/>
          <w:color w:val="2A609A"/>
          <w:sz w:val="24"/>
        </w:rPr>
        <w:t>kwietnia</w:t>
      </w:r>
      <w:r>
        <w:rPr>
          <w:rFonts w:ascii="Lato-Regular" w:hAnsi="Lato-Regular"/>
          <w:color w:val="2A609A"/>
          <w:sz w:val="24"/>
        </w:rPr>
        <w:t xml:space="preserve"> 2026 r. do godz. 14:00</w:t>
      </w:r>
    </w:p>
    <w:p>
      <w:pPr>
        <w:pStyle w:val="Normal"/>
        <w:spacing w:lineRule="auto" w:line="276" w:before="0" w:after="0"/>
        <w:jc w:val="left"/>
        <w:rPr>
          <w:rFonts w:ascii="Lato" w:hAnsi="Lato"/>
          <w:bCs/>
          <w:sz w:val="24"/>
          <w:szCs w:val="24"/>
        </w:rPr>
      </w:pPr>
      <w:r>
        <w:rPr>
          <w:rFonts w:eastAsia="Cambria" w:cs="Times New Roman" w:ascii="Lato-Bold" w:hAnsi="Lato-Bold"/>
          <w:b/>
          <w:color w:val="C10000"/>
          <w:sz w:val="28"/>
          <w:lang w:eastAsia="zh-CN"/>
        </w:rPr>
        <w:t xml:space="preserve">Miejsce </w:t>
      </w:r>
    </w:p>
    <w:p>
      <w:pPr>
        <w:pStyle w:val="Normal"/>
        <w:spacing w:lineRule="auto" w:line="276" w:before="0" w:after="0"/>
        <w:jc w:val="left"/>
        <w:rPr/>
      </w:pP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 xml:space="preserve">Piła, ul. 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>PPŁK. Aleksandra Kity 9</w:t>
      </w:r>
    </w:p>
    <w:p>
      <w:pPr>
        <w:pStyle w:val="Normal"/>
        <w:spacing w:lineRule="auto" w:line="276" w:before="0" w:after="0"/>
        <w:jc w:val="left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Lato-Bold" w:hAnsi="Lato-Bold"/>
          <w:b/>
          <w:color w:val="C10000"/>
          <w:sz w:val="28"/>
        </w:rPr>
        <w:t>Termin i miejsce oglądania ruchomości</w:t>
      </w:r>
    </w:p>
    <w:p>
      <w:pPr>
        <w:pStyle w:val="Normal"/>
        <w:spacing w:lineRule="auto" w:line="276" w:before="0" w:after="0"/>
        <w:jc w:val="left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 xml:space="preserve">Ruchomość można oglądać 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31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 xml:space="preserve"> 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marc</w:t>
      </w:r>
      <w:r>
        <w:rPr>
          <w:rStyle w:val="Nagwek2Znak"/>
          <w:rFonts w:eastAsia="Calibri" w:cs="Mangal" w:ascii="Lato-Regular" w:hAnsi="Lato-Regular"/>
          <w:b w:val="false"/>
          <w:bCs w:val="false"/>
          <w:i/>
          <w:color w:val="000000"/>
          <w:kern w:val="0"/>
          <w:sz w:val="24"/>
          <w:szCs w:val="22"/>
          <w:lang w:val="pl-PL" w:eastAsia="en-US" w:bidi="ar-SA"/>
        </w:rPr>
        <w:t>a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 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 xml:space="preserve">2026 roku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w Pile przy ul.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PPŁK. Aleksandra Kity 9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pl-PL" w:eastAsia="en-US" w:bidi="ar-SA"/>
        </w:rPr>
        <w:t xml:space="preserve">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od godz. 1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3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.</w:t>
      </w:r>
      <w:r>
        <w:rPr>
          <w:rStyle w:val="Nagwek2Znak"/>
          <w:rFonts w:eastAsia="Calibri" w:cs="Mangal" w:ascii="Lato-Italic" w:hAnsi="Lato-Italic"/>
          <w:b w:val="false"/>
          <w:bCs w:val="false"/>
          <w:i/>
          <w:color w:val="2F5497"/>
          <w:kern w:val="0"/>
          <w:sz w:val="24"/>
          <w:szCs w:val="22"/>
          <w:lang w:val="pl-PL" w:eastAsia="en-US" w:bidi="ar-SA"/>
        </w:rPr>
        <w:t>00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 do godz. 1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3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.15, </w:t>
      </w:r>
      <w:r>
        <w:rPr>
          <w:rStyle w:val="Nagwek2Znak"/>
          <w:rFonts w:ascii="Lato-Italic" w:hAnsi="Lato-Italic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po uprzednim ustaleniu z organem egzekucyjnym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.</w:t>
      </w:r>
    </w:p>
    <w:p>
      <w:pPr>
        <w:pStyle w:val="Normal"/>
        <w:spacing w:lineRule="auto" w:line="276" w:before="0" w:after="16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</w:r>
    </w:p>
    <w:p>
      <w:pPr>
        <w:pStyle w:val="Normal"/>
        <w:spacing w:lineRule="auto" w:line="276" w:before="0" w:after="160"/>
        <w:jc w:val="both"/>
        <w:rPr>
          <w:rFonts w:ascii="Lato" w:hAnsi="Lato" w:eastAsia="Cambria" w:cs="Times New Roman"/>
          <w:lang w:eastAsia="zh-CN"/>
        </w:rPr>
      </w:pPr>
      <w:r>
        <w:rPr>
          <w:rStyle w:val="Nagwek2Znak"/>
          <w:rFonts w:ascii="Lato-Bold" w:hAnsi="Lato-Bold"/>
          <w:b/>
          <w:bCs w:val="false"/>
          <w:i w:val="false"/>
          <w:iCs w:val="false"/>
          <w:color w:val="C10000"/>
          <w:kern w:val="0"/>
          <w:sz w:val="28"/>
          <w:szCs w:val="24"/>
          <w:lang w:val="fr-FR" w:eastAsia="en-US" w:bidi="ar-SA"/>
        </w:rPr>
        <w:t>Pozostałe informacje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1134" w:left="0" w:right="0"/>
        <w:jc w:val="left"/>
        <w:rPr/>
      </w:pPr>
      <w:r>
        <w:rPr>
          <w:rStyle w:val="Nagwek2Znak"/>
          <w:rFonts w:eastAsia="Cambria" w:cs="Times New Roman" w:ascii="Lato-Regular" w:hAnsi="Lato-Regular"/>
          <w:b w:val="false"/>
          <w:bCs/>
          <w:i/>
          <w:color w:val="000000"/>
          <w:kern w:val="0"/>
          <w:sz w:val="24"/>
          <w:szCs w:val="24"/>
          <w:lang w:val="pl-PL" w:eastAsia="zh-CN" w:bidi="ar-SA"/>
        </w:rPr>
        <w:tab/>
        <w:t>Ruchomo</w:t>
      </w:r>
      <w:r>
        <w:rPr>
          <w:rFonts w:ascii="Lato-Regular" w:hAnsi="Lato-Regular"/>
          <w:color w:val="000000"/>
          <w:sz w:val="24"/>
        </w:rPr>
        <w:t xml:space="preserve">ść zostanie sprzedana pierwszej osobie, która wyrazi chęć zakupu i uiści cenę sprzedaży. </w:t>
      </w:r>
    </w:p>
    <w:p>
      <w:pPr>
        <w:pStyle w:val="Normal"/>
        <w:jc w:val="left"/>
        <w:rPr>
          <w:rFonts w:ascii="Lato-Regular" w:hAnsi="Lato-Regular"/>
          <w:color w:val="000000"/>
          <w:sz w:val="24"/>
        </w:rPr>
      </w:pPr>
      <w:r>
        <w:rPr>
          <w:rFonts w:ascii="Lato-Regular" w:hAnsi="Lato-Regular"/>
          <w:color w:val="000000"/>
          <w:sz w:val="24"/>
        </w:rPr>
        <w:t>Osoby zainteresowane nabyciem w/w ruchomości proszę o kontakt za pomocą e-maila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 xml:space="preserve">na adres </w:t>
      </w:r>
      <w:r>
        <w:rPr>
          <w:rFonts w:ascii="Lato-Regular" w:hAnsi="Lato-Regular"/>
          <w:color w:val="2A6099"/>
          <w:sz w:val="24"/>
        </w:rPr>
        <w:t>us.pila@mf.gov.pl</w:t>
      </w:r>
      <w:r>
        <w:rPr>
          <w:rFonts w:ascii="Lato-Regular" w:hAnsi="Lato-Regular"/>
          <w:color w:val="000000"/>
          <w:sz w:val="24"/>
        </w:rPr>
        <w:t>. Pierwszeństwo nabycia będzie określone na podstawie wpływu wiadomości na powyższy adres e-mail. W temacie należy wpisać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>„</w:t>
      </w:r>
      <w:r>
        <w:rPr>
          <w:rFonts w:ascii="Lato-Regular" w:hAnsi="Lato-Regular"/>
          <w:color w:val="000000"/>
          <w:sz w:val="24"/>
        </w:rPr>
        <w:t xml:space="preserve">sprzedaż z wolnej ręki”, natomiast w treści wiadomości proszę wpisać imię i nazwisko oraz nr PESEL lub NIP i telefon kontaktowy. 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>Oświadczenie woli zakupu złożone przed terminem wskazanym w zawiadomieniu nie będzie brane pod uwagę. Nabywca nie może domagać się unieważnienia sprzedaży i nabycia ruchomości, ani też obniżenia ceny jej nabycia, z powodu wad, mylnego oszacowania lub innej przyczyny.</w:t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  <w:r>
        <w:rPr>
          <w:rFonts w:ascii="Lato" w:hAnsi="Lato"/>
          <w:color w:val="BF0041"/>
          <w:lang w:eastAsia="pl-PL"/>
        </w:rPr>
        <w:t>nie jest wymagane</w:t>
      </w:r>
    </w:p>
    <w:p>
      <w:pPr>
        <w:pStyle w:val="Standard"/>
        <w:spacing w:lineRule="auto" w:line="276" w:before="0" w:after="0"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lang w:val="pl-PL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bidi="ar-SA"/>
        </w:rPr>
      </w:r>
    </w:p>
    <w:p>
      <w:pPr>
        <w:pStyle w:val="Standard"/>
        <w:spacing w:lineRule="auto" w:line="240" w:before="120" w:after="0"/>
        <w:jc w:val="both"/>
        <w:rPr/>
      </w:pPr>
      <w:r>
        <w:rPr>
          <w:rFonts w:eastAsia="Cambria" w:cs="Times New Roman" w:ascii="Lato" w:hAnsi="Lato"/>
          <w:bCs/>
          <w:color w:val="000000"/>
          <w:sz w:val="24"/>
          <w:szCs w:val="24"/>
          <w:lang w:eastAsia="zh-CN"/>
        </w:rPr>
        <w:t xml:space="preserve">Sprzedaż </w:t>
      </w:r>
      <w:r>
        <w:rPr>
          <w:rFonts w:eastAsia="Cambria" w:cs="Times New Roman" w:ascii="Lato" w:hAnsi="Lato"/>
          <w:bCs/>
          <w:i/>
          <w:color w:val="2F5496"/>
          <w:sz w:val="24"/>
          <w:szCs w:val="24"/>
          <w:lang w:eastAsia="zh-CN"/>
        </w:rPr>
        <w:t>nie jest</w:t>
      </w:r>
      <w:r>
        <w:rPr>
          <w:rFonts w:eastAsia="Cambria" w:cs="Times New Roman" w:ascii="Lato" w:hAnsi="Lato"/>
          <w:bCs/>
          <w:color w:val="2F5496"/>
          <w:sz w:val="24"/>
          <w:szCs w:val="24"/>
          <w:lang w:eastAsia="zh-CN"/>
        </w:rPr>
        <w:t xml:space="preserve"> </w:t>
      </w:r>
      <w:r>
        <w:rPr>
          <w:rFonts w:eastAsia="Cambria" w:cs="Times New Roman" w:ascii="Lato" w:hAnsi="Lato"/>
          <w:bCs/>
          <w:color w:val="000000"/>
          <w:sz w:val="24"/>
          <w:szCs w:val="24"/>
          <w:lang w:eastAsia="zh-CN"/>
        </w:rPr>
        <w:t>opodatkowana podatkiem od towarów i usług. Szczegółowe informacje można uzyskać w Dziale</w:t>
      </w:r>
      <w:r>
        <w:rPr>
          <w:rFonts w:eastAsia="Cambria" w:cs="Times New Roman" w:ascii="Lato" w:hAnsi="Lato"/>
          <w:bCs/>
          <w:color w:val="2F5496"/>
          <w:sz w:val="24"/>
          <w:szCs w:val="24"/>
          <w:lang w:eastAsia="zh-CN"/>
        </w:rPr>
        <w:t xml:space="preserve"> </w:t>
      </w:r>
      <w:r>
        <w:rPr>
          <w:rFonts w:eastAsia="Cambria" w:cs="Times New Roman" w:ascii="Lato" w:hAnsi="Lato"/>
          <w:bCs/>
          <w:color w:val="000000"/>
          <w:sz w:val="24"/>
          <w:szCs w:val="24"/>
          <w:lang w:eastAsia="zh-CN"/>
        </w:rPr>
        <w:t>Egzekucji Administracyjnej:</w:t>
      </w:r>
    </w:p>
    <w:p>
      <w:pPr>
        <w:pStyle w:val="Normal"/>
        <w:spacing w:before="0" w:after="160"/>
        <w:jc w:val="both"/>
        <w:rPr>
          <w:rFonts w:ascii="Lato-Bold" w:hAnsi="Lato-Bold"/>
          <w:b/>
          <w:color w:val="C10000"/>
          <w:sz w:val="28"/>
        </w:rPr>
      </w:pPr>
      <w:r>
        <w:rPr>
          <w:rFonts w:ascii="Lato-Bold" w:hAnsi="Lato-Bold"/>
          <w:b/>
          <w:color w:val="C10000"/>
          <w:sz w:val="28"/>
        </w:rPr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jc w:val="both"/>
        <w:rPr/>
      </w:pPr>
      <w:r>
        <w:drawing>
          <wp:anchor behindDoc="0" distT="0" distB="635" distL="114300" distR="114935" simplePos="0" locked="0" layoutInCell="0" allowOverlap="1" relativeHeight="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2F5496"/>
        </w:rPr>
        <w:t>67 35 26 347</w:t>
      </w:r>
    </w:p>
    <w:p>
      <w:pPr>
        <w:pStyle w:val="TekstpismaKAS"/>
        <w:jc w:val="both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jc w:val="both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jc w:val="both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krzysztof.stankiewicz@mf.gov.pl</w:t>
      </w:r>
    </w:p>
    <w:p>
      <w:pPr>
        <w:pStyle w:val="Standard"/>
        <w:spacing w:lineRule="auto" w:line="240" w:before="120" w:after="0"/>
        <w:jc w:val="both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ind w:hanging="0"/>
        <w:jc w:val="both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jc w:val="both"/>
        <w:rPr/>
      </w:pPr>
      <w:r>
        <w:rPr>
          <w:rFonts w:ascii="Lato" w:hAnsi="Lato"/>
          <w:lang w:eastAsia="pl-PL"/>
        </w:rPr>
        <w:t xml:space="preserve">Art. 108 </w:t>
      </w:r>
      <w:r>
        <w:rPr>
          <w:rFonts w:ascii="Lato" w:hAnsi="Lato"/>
          <w:color w:val="000000"/>
          <w:lang w:eastAsia="pl-PL"/>
        </w:rPr>
        <w:t>§ 1</w:t>
      </w:r>
      <w:r>
        <w:rPr>
          <w:rFonts w:ascii="Lato" w:hAnsi="Lato"/>
          <w:lang w:eastAsia="pl-PL"/>
        </w:rPr>
        <w:t xml:space="preserve"> ustawy z dnia 17 czerwca 1966 r. o postępowaniu egzekucyjnym w administracji (Dz.U. z 2025 r. poz. </w:t>
      </w:r>
      <w:r>
        <w:rPr>
          <w:rFonts w:eastAsia="Lato" w:cs="Calibri" w:ascii="Lato" w:hAnsi="Lato"/>
          <w:color w:val="auto"/>
          <w:kern w:val="0"/>
          <w:sz w:val="24"/>
          <w:szCs w:val="24"/>
          <w:lang w:val="pl-PL" w:eastAsia="pl-PL" w:bidi="ar-SA"/>
        </w:rPr>
        <w:t>132 z późn. zm.</w:t>
      </w:r>
      <w:r>
        <w:rPr>
          <w:rFonts w:ascii="Lato" w:hAnsi="Lato"/>
          <w:lang w:eastAsia="pl-PL"/>
        </w:rPr>
        <w:t>)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</w:r>
    </w:p>
    <w:p>
      <w:pPr>
        <w:pStyle w:val="BodyText"/>
        <w:spacing w:lineRule="auto" w:line="240"/>
        <w:jc w:val="center"/>
        <w:rPr/>
      </w:pPr>
      <w:r>
        <w:rPr/>
        <w:tab/>
        <w:tab/>
        <w:tab/>
        <w:tab/>
        <w:tab/>
        <w:tab/>
        <w:tab/>
        <w:t xml:space="preserve"> </w:t>
        <w:tab/>
        <w:t xml:space="preserve">    </w:t>
      </w:r>
      <w:r>
        <w:rPr>
          <w:sz w:val="20"/>
          <w:szCs w:val="20"/>
        </w:rPr>
        <w:t>Z up. Naczelnika</w:t>
      </w:r>
    </w:p>
    <w:p>
      <w:pPr>
        <w:pStyle w:val="Normal"/>
        <w:spacing w:lineRule="auto" w:line="240"/>
        <w:ind w:firstLine="709" w:left="4254"/>
        <w:jc w:val="left"/>
        <w:rPr/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454" w:left="4254"/>
        <w:jc w:val="left"/>
        <w:rPr/>
      </w:pPr>
      <w:r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>w zastępstwie</w:t>
        <w:tab/>
        <w:tab/>
        <w:tab/>
        <w:t xml:space="preserve">                                     </w:t>
        <w:tab/>
        <w:tab/>
        <w:t xml:space="preserve">                  </w:t>
        <w:tab/>
        <w:tab/>
        <w:tab/>
        <w:t xml:space="preserve">         Agnieszka Olejniczak</w:t>
        <w:tab/>
        <w:t xml:space="preserve">                                                          </w:t>
        <w:tab/>
        <w:tab/>
        <w:tab/>
        <w:t xml:space="preserve">       </w:t>
      </w:r>
      <w:r>
        <w:rPr>
          <w:sz w:val="20"/>
          <w:szCs w:val="20"/>
        </w:rPr>
        <w:t xml:space="preserve">  zastępca Naczelnika     </w:t>
      </w:r>
      <w:r>
        <w:rPr/>
        <w:t xml:space="preserve">         </w:t>
      </w:r>
    </w:p>
    <w:p>
      <w:pPr>
        <w:pStyle w:val="BodyText"/>
        <w:spacing w:lineRule="auto" w:line="240"/>
        <w:jc w:val="center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(podpisano kwalifikowanym </w:t>
        <w:tab/>
        <w:tab/>
        <w:tab/>
        <w:tab/>
        <w:tab/>
        <w:tab/>
        <w:tab/>
        <w:t xml:space="preserve">                               </w:t>
        <w:tab/>
        <w:tab/>
        <w:tab/>
        <w:tab/>
        <w:tab/>
        <w:tab/>
        <w:tab/>
        <w:tab/>
        <w:tab/>
        <w:tab/>
        <w:tab/>
        <w:tab/>
        <w:tab/>
        <w:t xml:space="preserve">     podpisem elektronicznym)        </w:t>
      </w:r>
    </w:p>
    <w:p>
      <w:pPr>
        <w:pStyle w:val="TekstpismaKAS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/>
      </w:pPr>
      <w:r>
        <w:rPr/>
        <w:tab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 xml:space="preserve">                    </w:t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                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256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ato-Regular">
    <w:charset w:val="ee"/>
    <w:family w:val="roman"/>
    <w:pitch w:val="variable"/>
  </w:font>
  <w:font w:name="Lato-Bold">
    <w:charset w:val="ee"/>
    <w:family w:val="roman"/>
    <w:pitch w:val="variable"/>
  </w:font>
  <w:font w:name="Lato-Ital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4" path="m0,0l-2147483645,0l-2147483645,-2147483646l0,-2147483646xe" stroked="f" o:allowincell="f" style="position:absolute;margin-left:425.25pt;margin-top:0.05pt;width:86.2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3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7.85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us.pila@mf.gov.pl ● tel. +48 67 352 60 00 ●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lewauser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Mangal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NSimSun" w:cs="Mangal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NSimSun" w:cs="Mangal"/>
      <w:b/>
      <w:color w:val="E31837"/>
      <w:sz w:val="28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eastAsia="NSimSun" w:cs="Mangal"/>
      <w:b/>
      <w:sz w:val="32"/>
      <w:szCs w:val="32"/>
    </w:rPr>
  </w:style>
  <w:style w:type="character" w:styleId="Nagwek2Znak">
    <w:name w:val="Nagłówek 2 Znak"/>
    <w:basedOn w:val="DefaultParagraphFont"/>
    <w:qFormat/>
    <w:rPr>
      <w:rFonts w:eastAsia="NSimSun" w:cs="Mangal"/>
      <w:b/>
      <w:color w:val="E31837"/>
      <w:sz w:val="28"/>
      <w:szCs w:val="26"/>
    </w:rPr>
  </w:style>
  <w:style w:type="character" w:styleId="Hyperlink">
    <w:name w:val="Hyperlink"/>
    <w:qFormat/>
    <w:rPr>
      <w:color w:val="000080"/>
      <w:u w:val="single"/>
    </w:rPr>
  </w:style>
  <w:style w:type="character" w:styleId="TekstpodstawowyZnak">
    <w:name w:val="Tekst podstawowy Znak"/>
    <w:basedOn w:val="DefaultParagraphFont"/>
    <w:qFormat/>
    <w:rPr>
      <w:rFonts w:eastAsia="Lato" w:cs="Lato"/>
      <w:sz w:val="24"/>
    </w:rPr>
  </w:style>
  <w:style w:type="character" w:styleId="TekstpodstawowyZnak1">
    <w:name w:val="Tekst podstawowy Znak1"/>
    <w:basedOn w:val="DefaultParagraphFont"/>
    <w:qFormat/>
    <w:rPr/>
  </w:style>
  <w:style w:type="character" w:styleId="NagwekZnak">
    <w:name w:val="Nagłówek Znak"/>
    <w:basedOn w:val="DefaultParagraphFont"/>
    <w:qFormat/>
    <w:rPr>
      <w:rFonts w:ascii="Lato" w:hAnsi="Lato" w:eastAsia="Lato" w:cs="Lato"/>
    </w:rPr>
  </w:style>
  <w:style w:type="character" w:styleId="NagwekZnak1">
    <w:name w:val="Nagłówek Znak1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ytupismaKASZnak">
    <w:name w:val="Tytuł pisma KAS Znak"/>
    <w:basedOn w:val="DefaultParagraphFont"/>
    <w:qFormat/>
    <w:rPr>
      <w:rFonts w:eastAsia="NSimSun" w:cs="Calibri"/>
      <w:b/>
      <w:sz w:val="32"/>
      <w:szCs w:val="32"/>
    </w:rPr>
  </w:style>
  <w:style w:type="character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styleId="rdtytuKASZnak">
    <w:name w:val="Śródtytuł KAS Znak"/>
    <w:basedOn w:val="Nagwek2Znak"/>
    <w:qFormat/>
    <w:rPr>
      <w:rFonts w:eastAsia="NSimSun" w:cs="Calibri"/>
      <w:b/>
      <w:color w:val="E31837"/>
      <w:sz w:val="28"/>
      <w:szCs w:val="26"/>
    </w:rPr>
  </w:style>
  <w:style w:type="character" w:styleId="WyliczeniaKASZnak">
    <w:name w:val="Wyliczenia KAS Znak"/>
    <w:basedOn w:val="DefaultParagraphFont"/>
    <w:qFormat/>
    <w:rPr>
      <w:rFonts w:eastAsia="Lato" w:cs="Calibri"/>
      <w:sz w:val="24"/>
    </w:rPr>
  </w:style>
  <w:style w:type="character" w:styleId="CytatKASZnak">
    <w:name w:val="Cytat KAS Znak"/>
    <w:basedOn w:val="DefaultParagraphFont"/>
    <w:qFormat/>
    <w:rPr>
      <w:rFonts w:eastAsia="Lato" w:cs="Calibri"/>
    </w:rPr>
  </w:style>
  <w:style w:type="character" w:styleId="MetrykapismaKASZnak">
    <w:name w:val="Metryka pisma KAS Znak"/>
    <w:basedOn w:val="DefaultParagraphFont"/>
    <w:qFormat/>
    <w:rPr>
      <w:rFonts w:cs="Calibri"/>
    </w:rPr>
  </w:style>
  <w:style w:type="character" w:styleId="BezodstpwZnak">
    <w:name w:val="Bez odstępów Znak"/>
    <w:basedOn w:val="DefaultParagraphFont"/>
    <w:qFormat/>
    <w:rPr/>
  </w:style>
  <w:style w:type="character" w:styleId="RODOKASZnak">
    <w:name w:val="RODO KAS Znak"/>
    <w:basedOn w:val="BezodstpwZnak"/>
    <w:qFormat/>
    <w:rPr>
      <w:sz w:val="20"/>
      <w:szCs w:val="20"/>
    </w:rPr>
  </w:style>
  <w:style w:type="character" w:styleId="StopkaKASZnak">
    <w:name w:val="Stopka KAS Znak"/>
    <w:basedOn w:val="RODOKASZnak"/>
    <w:qFormat/>
    <w:rPr>
      <w:sz w:val="18"/>
      <w:szCs w:val="18"/>
      <w:lang w:val="fr-FR"/>
    </w:rPr>
  </w:style>
  <w:style w:type="character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styleId="HTML-wstpniesformatowanyZnak">
    <w:name w:val="HTML - wstępnie sformatowany Znak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pPr>
      <w:widowControl w:val="false"/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Mangal"/>
      <w:color w:val="auto"/>
      <w:kern w:val="0"/>
      <w:sz w:val="22"/>
      <w:szCs w:val="22"/>
      <w:lang w:val="pl-PL" w:eastAsia="en-US" w:bidi="ar-SA"/>
    </w:rPr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Calibri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Calibri"/>
      <w:szCs w:val="24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Calibri"/>
    </w:rPr>
  </w:style>
  <w:style w:type="paragraph" w:styleId="WyliczeniaKAS">
    <w:name w:val="Wyliczenia KAS"/>
    <w:basedOn w:val="Normal"/>
    <w:qFormat/>
    <w:pPr>
      <w:widowControl w:val="false"/>
      <w:spacing w:lineRule="auto" w:line="276" w:before="120" w:after="0"/>
      <w:ind w:hanging="284" w:left="426" w:right="0"/>
      <w:contextualSpacing/>
    </w:pPr>
    <w:rPr>
      <w:rFonts w:eastAsia="Lato" w:cs="Calibri"/>
      <w:sz w:val="24"/>
    </w:rPr>
  </w:style>
  <w:style w:type="paragraph" w:styleId="CytatKAS">
    <w:name w:val="Cytat KAS"/>
    <w:basedOn w:val="Normal"/>
    <w:qFormat/>
    <w:pPr>
      <w:widowControl w:val="false"/>
      <w:pBdr>
        <w:left w:val="single" w:sz="4" w:space="8" w:color="E31837"/>
      </w:pBdr>
      <w:spacing w:lineRule="auto" w:line="276" w:before="120" w:after="0"/>
      <w:ind w:hanging="0" w:left="454" w:right="0"/>
      <w:contextualSpacing/>
    </w:pPr>
    <w:rPr>
      <w:rFonts w:eastAsia="Lato" w:cs="Calibri"/>
    </w:rPr>
  </w:style>
  <w:style w:type="paragraph" w:styleId="MetrykapismaKAS">
    <w:name w:val="Metryka pisma KAS"/>
    <w:basedOn w:val="Normal"/>
    <w:qFormat/>
    <w:pPr>
      <w:spacing w:before="0" w:after="0"/>
      <w:ind w:hanging="1418" w:left="1418" w:right="4253"/>
    </w:pPr>
    <w:rPr>
      <w:rFonts w:cs="Calibri"/>
    </w:rPr>
  </w:style>
  <w:style w:type="paragraph" w:styleId="RODOKAS">
    <w:name w:val="RODO KAS"/>
    <w:basedOn w:val="NoSpacing"/>
    <w:qFormat/>
    <w:pPr>
      <w:spacing w:lineRule="auto" w:line="259" w:before="0" w:after="0"/>
      <w:contextualSpacing/>
    </w:pPr>
    <w:rPr>
      <w:sz w:val="20"/>
      <w:szCs w:val="20"/>
    </w:rPr>
  </w:style>
  <w:style w:type="paragraph" w:styleId="StopkaKAS">
    <w:name w:val="Stopka KAS"/>
    <w:basedOn w:val="RODOKAS"/>
    <w:qFormat/>
    <w:pPr>
      <w:pBdr>
        <w:left w:val="single" w:sz="4" w:space="4" w:color="000000"/>
      </w:pBdr>
      <w:ind w:hanging="0" w:left="2127" w:right="0"/>
    </w:pPr>
    <w:rPr>
      <w:sz w:val="18"/>
      <w:szCs w:val="18"/>
    </w:rPr>
  </w:style>
  <w:style w:type="paragraph" w:styleId="NumerowanieKAS">
    <w:name w:val="Numerowanie KAS"/>
    <w:basedOn w:val="TekstpismaKAS"/>
    <w:qFormat/>
    <w:pPr>
      <w:ind w:hanging="284" w:left="284" w:right="0"/>
    </w:pPr>
    <w:rPr/>
  </w:style>
  <w:style w:type="paragraph" w:styleId="Prawo">
    <w:name w:val="Prawo"/>
    <w:basedOn w:val="BodyText"/>
    <w:qFormat/>
    <w:pPr>
      <w:pBdr>
        <w:left w:val="single" w:sz="4" w:space="8" w:color="000000"/>
      </w:pBdr>
      <w:spacing w:before="160" w:after="120"/>
      <w:ind w:hanging="0" w:left="454" w:right="0"/>
    </w:pPr>
    <w:rPr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ramkiuser">
    <w:name w:val="Zawartość ramki (user)"/>
    <w:basedOn w:val="Normal"/>
    <w:qFormat/>
    <w:pPr/>
    <w:rPr/>
  </w:style>
  <w:style w:type="paragraph" w:styleId="Gwkalewauser">
    <w:name w:val="Główka lewa (user)"/>
    <w:basedOn w:val="Header"/>
    <w:qFormat/>
    <w:pPr>
      <w:suppressLineNumbers/>
      <w:tabs>
        <w:tab w:val="clear" w:pos="4536"/>
        <w:tab w:val="clear" w:pos="9072"/>
        <w:tab w:val="center" w:pos="4535" w:leader="none"/>
        <w:tab w:val="right" w:pos="9071" w:leader="none"/>
      </w:tabs>
    </w:pPr>
    <w:rPr/>
  </w:style>
  <w:style w:type="numbering" w:styleId="Bezlistyuser">
    <w:name w:val="Bez listy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LibreOffice/25.2.3.2$Windows_X86_64 LibreOffice_project/bbb074479178df812d175f709636b368952c2ce3</Application>
  <AppVersion>15.0000</AppVersion>
  <Pages>3</Pages>
  <Words>330</Words>
  <Characters>2039</Characters>
  <CharactersWithSpaces>2987</CharactersWithSpaces>
  <Paragraphs>51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2026-03-04T11:18:35Z</dcterms:modified>
  <cp:revision>64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