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2 </w:t>
      </w:r>
      <w:r>
        <w:rPr>
          <w:rFonts w:ascii="Lato" w:hAnsi="Lato"/>
          <w:i/>
          <w:color w:themeColor="accent1" w:themeShade="bf" w:val="2F5496"/>
        </w:rPr>
        <w:t>marca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Anny Cieniuch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kwietnia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,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ul. Chałubińskiego 11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RENAULT CLIO 1.2 Hatchback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, 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P1332V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VF1CR1RBH36748735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4.500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9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Udział ½ prawa własności samochodu osobowego RENAULT MEGANE 1.6 KAT Hatchback 2005 rok, nr rej. PP4060U, VIN VF1CM0J0H31870809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50,00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</w:t>
            </w:r>
          </w:p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28.02.2005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kwietni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1.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5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ul. Chałubińskiego 11 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</w:t>
      </w:r>
      <w:r>
        <w:rPr/>
        <w:t xml:space="preserve">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Naczelnik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Artur Szczap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0"/>
          <w:szCs w:val="20"/>
        </w:rPr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>podpisem elektronicznym)</w:t>
      </w:r>
      <w:r>
        <w:rPr/>
        <w:t xml:space="preserve">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LibreOffice/25.2.3.2$Windows_X86_64 LibreOffice_project/bbb074479178df812d175f709636b368952c2ce3</Application>
  <AppVersion>15.0000</AppVersion>
  <Pages>2</Pages>
  <Words>292</Words>
  <Characters>1901</Characters>
  <CharactersWithSpaces>3017</CharactersWithSpaces>
  <Paragraphs>57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2026-03-02T12:37:55Z</dcterms:modified>
  <cp:revision>79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